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F" w:rsidRDefault="004B6CDF" w:rsidP="004B6CDF">
      <w:pPr>
        <w:pStyle w:val="Nagwek"/>
        <w:ind w:left="-6997" w:firstLine="6997"/>
        <w:jc w:val="center"/>
        <w:rPr>
          <w:rFonts w:asciiTheme="minorHAnsi" w:hAnsiTheme="minorHAnsi"/>
          <w:b/>
        </w:rPr>
      </w:pPr>
      <w:bookmarkStart w:id="0" w:name="_Toc433750126"/>
      <w:bookmarkStart w:id="1" w:name="_Toc434406145"/>
      <w:r>
        <w:rPr>
          <w:rFonts w:asciiTheme="minorHAnsi" w:hAnsiTheme="minorHAnsi"/>
          <w:b/>
        </w:rPr>
        <w:t>TABLICA NT</w:t>
      </w:r>
      <w:r w:rsidRPr="00D82FC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CELÓW</w:t>
      </w:r>
    </w:p>
    <w:p w:rsidR="004B6CDF" w:rsidRDefault="004B6CDF" w:rsidP="00AD20F4">
      <w:pPr>
        <w:pStyle w:val="Nagwek2"/>
      </w:pPr>
    </w:p>
    <w:p w:rsidR="00AD20F4" w:rsidRDefault="00AD20F4" w:rsidP="00AD20F4">
      <w:pPr>
        <w:pStyle w:val="Nagwek2"/>
      </w:pPr>
      <w:r>
        <w:t>C</w:t>
      </w:r>
      <w:r w:rsidRPr="005C0D13">
        <w:t>el</w:t>
      </w:r>
      <w:r>
        <w:t>e</w:t>
      </w:r>
      <w:r w:rsidRPr="005C0D13">
        <w:t xml:space="preserve"> ogóln</w:t>
      </w:r>
      <w:r>
        <w:t>e</w:t>
      </w:r>
      <w:r w:rsidRPr="005C0D13">
        <w:t>, cel</w:t>
      </w:r>
      <w:r>
        <w:t>e</w:t>
      </w:r>
      <w:r w:rsidRPr="005C0D13">
        <w:t xml:space="preserve"> szczegółow</w:t>
      </w:r>
      <w:r>
        <w:t>e</w:t>
      </w:r>
      <w:r w:rsidRPr="005C0D13">
        <w:t xml:space="preserve"> i przedsięwzię</w:t>
      </w:r>
      <w:r>
        <w:t>cia</w:t>
      </w:r>
      <w:bookmarkEnd w:id="0"/>
      <w:bookmarkEnd w:id="1"/>
    </w:p>
    <w:p w:rsidR="00AD20F4" w:rsidRDefault="00AD20F4" w:rsidP="00AD20F4">
      <w:pPr>
        <w:rPr>
          <w:rFonts w:ascii="Aller Light" w:hAnsi="Aller Light"/>
          <w:sz w:val="22"/>
          <w:szCs w:val="22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3402"/>
        <w:gridCol w:w="3106"/>
        <w:gridCol w:w="2410"/>
        <w:gridCol w:w="2410"/>
        <w:gridCol w:w="2268"/>
      </w:tblGrid>
      <w:tr w:rsidR="00920422" w:rsidRPr="00B56BBD" w:rsidTr="00920422">
        <w:trPr>
          <w:trHeight w:hRule="exact" w:val="708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2410" w:type="dxa"/>
            <w:shd w:val="clear" w:color="auto" w:fill="FFD966" w:themeFill="accent4" w:themeFillTint="99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b/>
                <w:color w:val="auto"/>
                <w:sz w:val="20"/>
                <w:szCs w:val="20"/>
              </w:rPr>
              <w:t>E</w:t>
            </w:r>
          </w:p>
        </w:tc>
      </w:tr>
      <w:tr w:rsidR="00920422" w:rsidRPr="00B56BBD" w:rsidTr="00920422">
        <w:trPr>
          <w:trHeight w:hRule="exact" w:val="1435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C5E0B3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Problem szczegółowy</w:t>
            </w:r>
          </w:p>
        </w:tc>
        <w:tc>
          <w:tcPr>
            <w:tcW w:w="3106" w:type="dxa"/>
            <w:shd w:val="clear" w:color="auto" w:fill="C5E0B3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Cel szczegółowy (propozycja rozwiązania w odniesieniu do grupy docelowej)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Negatywne następstwo pr</w:t>
            </w:r>
            <w:bookmarkStart w:id="2" w:name="_GoBack"/>
            <w:bookmarkEnd w:id="2"/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oblemu</w:t>
            </w:r>
          </w:p>
        </w:tc>
        <w:tc>
          <w:tcPr>
            <w:tcW w:w="2410" w:type="dxa"/>
            <w:shd w:val="clear" w:color="auto" w:fill="C5E0B3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Cel ogólny (propozycje rozwiązania)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:rsidR="00920422" w:rsidRPr="00B56BBD" w:rsidRDefault="00920422" w:rsidP="00E04FAB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b/>
                <w:color w:val="auto"/>
                <w:sz w:val="20"/>
                <w:szCs w:val="20"/>
              </w:rPr>
              <w:t>Przyczyny problemu</w:t>
            </w:r>
          </w:p>
        </w:tc>
      </w:tr>
      <w:tr w:rsidR="00920422" w:rsidRPr="00B56BBD" w:rsidTr="00920422">
        <w:trPr>
          <w:trHeight w:hRule="exact" w:val="3808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ller Light" w:hAnsi="Aller Light"/>
                <w:b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20422" w:rsidRPr="000A19C5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>
              <w:rPr>
                <w:rFonts w:ascii="Aller Light" w:hAnsi="Aller Light"/>
                <w:b/>
                <w:sz w:val="20"/>
                <w:szCs w:val="20"/>
              </w:rPr>
              <w:t>Braki w infrastrukturze społecznej i publicznej</w:t>
            </w:r>
          </w:p>
        </w:tc>
        <w:tc>
          <w:tcPr>
            <w:tcW w:w="3106" w:type="dxa"/>
            <w:shd w:val="clear" w:color="auto" w:fill="auto"/>
          </w:tcPr>
          <w:p w:rsidR="00920422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707673">
              <w:rPr>
                <w:rFonts w:ascii="Aller Light" w:hAnsi="Aller Light"/>
                <w:b/>
                <w:sz w:val="20"/>
                <w:szCs w:val="20"/>
              </w:rPr>
              <w:t>Rozbudowa i modernizacja infrastruktury</w:t>
            </w:r>
            <w:r>
              <w:rPr>
                <w:rFonts w:ascii="Aller Light" w:hAnsi="Aller Light"/>
                <w:b/>
                <w:sz w:val="20"/>
                <w:szCs w:val="20"/>
              </w:rPr>
              <w:t xml:space="preserve"> o</w:t>
            </w:r>
            <w:r w:rsidRPr="00707673">
              <w:rPr>
                <w:rFonts w:ascii="Aller Light" w:hAnsi="Aller Light"/>
                <w:b/>
                <w:sz w:val="20"/>
                <w:szCs w:val="20"/>
              </w:rPr>
              <w:t xml:space="preserve"> charakterze społecznym i publicznym</w:t>
            </w:r>
            <w:r>
              <w:rPr>
                <w:rFonts w:ascii="Aller Light" w:hAnsi="Aller Light"/>
                <w:sz w:val="20"/>
                <w:szCs w:val="20"/>
              </w:rPr>
              <w:t xml:space="preserve">, tj. elementów infrastruktury pełniących ważne funkcje publiczne, infrastruktury sportowej, rekreacyjnej, infrastruktury kulturalnej (place zabaw, boiska, świetlice środowiskowe, domy kultury, centra miejscowości, trasy turystyczne, </w:t>
            </w:r>
            <w:r w:rsidRPr="00403302">
              <w:rPr>
                <w:rFonts w:ascii="Aller Light" w:hAnsi="Aller Light"/>
                <w:sz w:val="20"/>
                <w:szCs w:val="20"/>
              </w:rPr>
              <w:t xml:space="preserve">ścieżki </w:t>
            </w:r>
            <w:proofErr w:type="spellStart"/>
            <w:r w:rsidRPr="00403302">
              <w:rPr>
                <w:rFonts w:ascii="Aller Light" w:hAnsi="Aller Light"/>
                <w:sz w:val="20"/>
                <w:szCs w:val="20"/>
              </w:rPr>
              <w:t>Nordic</w:t>
            </w:r>
            <w:proofErr w:type="spellEnd"/>
            <w:r w:rsidRPr="00403302">
              <w:rPr>
                <w:rFonts w:ascii="Aller Light" w:hAnsi="Aller Light"/>
                <w:sz w:val="20"/>
                <w:szCs w:val="20"/>
              </w:rPr>
              <w:t xml:space="preserve"> </w:t>
            </w:r>
            <w:proofErr w:type="spellStart"/>
            <w:r w:rsidRPr="00403302">
              <w:rPr>
                <w:rFonts w:ascii="Aller Light" w:hAnsi="Aller Light"/>
                <w:sz w:val="20"/>
                <w:szCs w:val="20"/>
              </w:rPr>
              <w:t>Walking</w:t>
            </w:r>
            <w:proofErr w:type="spellEnd"/>
            <w:r>
              <w:rPr>
                <w:rFonts w:ascii="Aller Light" w:hAnsi="Aller Light"/>
                <w:sz w:val="20"/>
                <w:szCs w:val="20"/>
              </w:rPr>
              <w:t xml:space="preserve">, miejsca wypoczynku, biwaki, </w:t>
            </w:r>
            <w:r w:rsidRPr="00403302">
              <w:rPr>
                <w:rFonts w:ascii="Aller Light" w:hAnsi="Aller Light"/>
                <w:sz w:val="20"/>
                <w:szCs w:val="20"/>
              </w:rPr>
              <w:t>domy opieki społecznej</w:t>
            </w:r>
            <w:r>
              <w:rPr>
                <w:rFonts w:ascii="Aller Light" w:hAnsi="Aller Light"/>
                <w:sz w:val="20"/>
                <w:szCs w:val="20"/>
              </w:rPr>
              <w:t>, itp.)</w:t>
            </w:r>
          </w:p>
        </w:tc>
        <w:tc>
          <w:tcPr>
            <w:tcW w:w="2410" w:type="dxa"/>
            <w:shd w:val="clear" w:color="auto" w:fill="auto"/>
          </w:tcPr>
          <w:p w:rsidR="00920422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>Obniżenie poziomu zaspokajania potrzeb poszczególnych grup mieszkańców oraz zubożenie form/sposobów spędzania czasu wolnego</w:t>
            </w:r>
          </w:p>
        </w:tc>
        <w:tc>
          <w:tcPr>
            <w:tcW w:w="2410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Poprawa jakości infrastruktury technicznej, transportowej</w:t>
            </w:r>
            <w:r>
              <w:rPr>
                <w:rFonts w:ascii="Aller Light" w:hAnsi="Aller Light"/>
                <w:sz w:val="20"/>
                <w:szCs w:val="20"/>
              </w:rPr>
              <w:t>,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społecznej</w:t>
            </w:r>
            <w:r>
              <w:rPr>
                <w:rFonts w:ascii="Aller Light" w:hAnsi="Aller Light"/>
                <w:sz w:val="20"/>
                <w:szCs w:val="20"/>
              </w:rPr>
              <w:t xml:space="preserve"> i publicznej</w:t>
            </w:r>
          </w:p>
        </w:tc>
        <w:tc>
          <w:tcPr>
            <w:tcW w:w="2268" w:type="dxa"/>
            <w:shd w:val="clear" w:color="auto" w:fill="auto"/>
          </w:tcPr>
          <w:p w:rsidR="00920422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Wzrost potrzeb poszczególnych kategorii mieszkańców, braki budżetowe oraz </w:t>
            </w:r>
            <w:r w:rsidRPr="00096B22">
              <w:rPr>
                <w:rFonts w:ascii="Aller Light" w:hAnsi="Aller Light"/>
                <w:sz w:val="20"/>
                <w:szCs w:val="20"/>
              </w:rPr>
              <w:t>przeniesienie środków na inwestycje innego rodzaju</w:t>
            </w:r>
          </w:p>
        </w:tc>
      </w:tr>
      <w:tr w:rsidR="00920422" w:rsidRPr="00B56BBD" w:rsidTr="00920422">
        <w:trPr>
          <w:trHeight w:hRule="exact" w:val="2983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ller Light" w:hAnsi="Aller Light"/>
                <w:b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trike/>
                <w:sz w:val="20"/>
                <w:szCs w:val="20"/>
              </w:rPr>
            </w:pPr>
            <w:r w:rsidRPr="009A13B7">
              <w:rPr>
                <w:rFonts w:ascii="Aller Light" w:hAnsi="Aller Light"/>
                <w:b/>
                <w:sz w:val="20"/>
                <w:szCs w:val="20"/>
              </w:rPr>
              <w:t xml:space="preserve">Niedostatecznie rozwinięta lokalna infrastruktura techniczna </w:t>
            </w:r>
            <w:r>
              <w:rPr>
                <w:rFonts w:ascii="Aller Light" w:hAnsi="Aller Light"/>
                <w:b/>
                <w:sz w:val="20"/>
                <w:szCs w:val="20"/>
              </w:rPr>
              <w:t>w kontekście wykluczenia</w:t>
            </w:r>
            <w:r w:rsidRPr="009A13B7">
              <w:rPr>
                <w:rFonts w:ascii="Aller Light" w:hAnsi="Aller Light"/>
                <w:b/>
                <w:sz w:val="20"/>
                <w:szCs w:val="20"/>
              </w:rPr>
              <w:t xml:space="preserve"> cyfrowe</w:t>
            </w:r>
            <w:r>
              <w:rPr>
                <w:rFonts w:ascii="Aller Light" w:hAnsi="Aller Light"/>
                <w:b/>
                <w:sz w:val="20"/>
                <w:szCs w:val="20"/>
              </w:rPr>
              <w:t>go</w:t>
            </w:r>
          </w:p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trike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trike/>
                <w:sz w:val="20"/>
                <w:szCs w:val="20"/>
              </w:rPr>
            </w:pPr>
            <w:r w:rsidRPr="00707673">
              <w:rPr>
                <w:rFonts w:ascii="Aller Light" w:hAnsi="Aller Light"/>
                <w:b/>
                <w:sz w:val="20"/>
                <w:szCs w:val="20"/>
              </w:rPr>
              <w:t>Zaspokojenie potrzeb lokalnej społeczności w obszarze usług cyfrowych a w konsekwencji przeciwdziałanie wykluczeniu cyfrowemu</w:t>
            </w:r>
            <w:r>
              <w:rPr>
                <w:rFonts w:ascii="Aller Light" w:hAnsi="Aller Light"/>
                <w:sz w:val="20"/>
                <w:szCs w:val="20"/>
              </w:rPr>
              <w:t xml:space="preserve"> - p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odniesienie </w:t>
            </w:r>
            <w:r>
              <w:rPr>
                <w:rFonts w:ascii="Aller Light" w:hAnsi="Aller Light"/>
                <w:sz w:val="20"/>
                <w:szCs w:val="20"/>
              </w:rPr>
              <w:t xml:space="preserve">standardu </w:t>
            </w:r>
            <w:r w:rsidRPr="009A13B7">
              <w:rPr>
                <w:rFonts w:ascii="Aller Light" w:hAnsi="Aller Light"/>
                <w:sz w:val="20"/>
                <w:szCs w:val="20"/>
              </w:rPr>
              <w:t>życia mieszkańców</w:t>
            </w:r>
          </w:p>
        </w:tc>
        <w:tc>
          <w:tcPr>
            <w:tcW w:w="2410" w:type="dxa"/>
            <w:shd w:val="clear" w:color="auto" w:fill="auto"/>
          </w:tcPr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trike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Obniżenie jakości życia mieszkańców poprzez brak dostępu do technologii</w:t>
            </w:r>
            <w:r>
              <w:rPr>
                <w:rFonts w:ascii="Aller Light" w:hAnsi="Aller Light"/>
                <w:sz w:val="20"/>
                <w:szCs w:val="20"/>
              </w:rPr>
              <w:t xml:space="preserve">, towarów i informacji dostarczanych drogą  </w:t>
            </w:r>
            <w:r w:rsidRPr="009A13B7">
              <w:rPr>
                <w:rFonts w:ascii="Aller Light" w:hAnsi="Aller Light"/>
                <w:sz w:val="20"/>
                <w:szCs w:val="20"/>
              </w:rPr>
              <w:t>cyfrow</w:t>
            </w:r>
            <w:r>
              <w:rPr>
                <w:rFonts w:ascii="Aller Light" w:hAnsi="Aller Light"/>
                <w:sz w:val="20"/>
                <w:szCs w:val="20"/>
              </w:rPr>
              <w:t>ą</w:t>
            </w:r>
          </w:p>
        </w:tc>
        <w:tc>
          <w:tcPr>
            <w:tcW w:w="2410" w:type="dxa"/>
            <w:shd w:val="clear" w:color="auto" w:fill="auto"/>
          </w:tcPr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Poprawa jakości infrastruktury technicznej, transportowej</w:t>
            </w:r>
            <w:r>
              <w:rPr>
                <w:rFonts w:ascii="Aller Light" w:hAnsi="Aller Light"/>
                <w:sz w:val="20"/>
                <w:szCs w:val="20"/>
              </w:rPr>
              <w:t>,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społecznej</w:t>
            </w:r>
            <w:r>
              <w:rPr>
                <w:rFonts w:ascii="Aller Light" w:hAnsi="Aller Light"/>
                <w:sz w:val="20"/>
                <w:szCs w:val="20"/>
              </w:rPr>
              <w:t xml:space="preserve"> i publicznej</w:t>
            </w:r>
          </w:p>
        </w:tc>
        <w:tc>
          <w:tcPr>
            <w:tcW w:w="2268" w:type="dxa"/>
            <w:shd w:val="clear" w:color="auto" w:fill="auto"/>
          </w:tcPr>
          <w:p w:rsidR="00920422" w:rsidRPr="009A13B7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trike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 xml:space="preserve">Niedostatecznie rozwinięta infrastruktura </w:t>
            </w:r>
            <w:r>
              <w:rPr>
                <w:rFonts w:ascii="Aller Light" w:hAnsi="Aller Light"/>
                <w:sz w:val="20"/>
                <w:szCs w:val="20"/>
              </w:rPr>
              <w:t>cyfrowa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</w:t>
            </w:r>
            <w:r>
              <w:rPr>
                <w:rFonts w:ascii="Aller Light" w:hAnsi="Aller Light"/>
                <w:sz w:val="20"/>
                <w:szCs w:val="20"/>
              </w:rPr>
              <w:t>w wyniku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</w:t>
            </w:r>
            <w:r>
              <w:rPr>
                <w:rFonts w:ascii="Aller Light" w:hAnsi="Aller Light"/>
                <w:sz w:val="20"/>
                <w:szCs w:val="20"/>
              </w:rPr>
              <w:t>wieloletnich zaszłości, braku możliwości finansowych realizacji inwestycji i braku wiedzy na temat znaczenia technologii cyfrowych</w:t>
            </w:r>
          </w:p>
        </w:tc>
      </w:tr>
      <w:tr w:rsidR="00920422" w:rsidRPr="00B56BBD" w:rsidTr="00920422">
        <w:trPr>
          <w:trHeight w:hRule="exact" w:val="2711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ller Light" w:hAnsi="Aller Light"/>
                <w:b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20422" w:rsidRPr="000A19C5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 w:rsidRPr="000A19C5">
              <w:rPr>
                <w:rFonts w:ascii="Aller Light" w:hAnsi="Aller Light"/>
                <w:b/>
                <w:sz w:val="20"/>
                <w:szCs w:val="20"/>
              </w:rPr>
              <w:t>Braki w infrastrukturze transportowej</w:t>
            </w:r>
          </w:p>
        </w:tc>
        <w:tc>
          <w:tcPr>
            <w:tcW w:w="3106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15382C">
              <w:rPr>
                <w:rFonts w:ascii="Aller Light" w:hAnsi="Aller Light"/>
                <w:b/>
                <w:sz w:val="20"/>
                <w:szCs w:val="20"/>
              </w:rPr>
              <w:t>Zaspokojenie potrzeb lokalnej społeczności w obszarze bezpieczeństwa</w:t>
            </w:r>
            <w:r>
              <w:rPr>
                <w:rFonts w:ascii="Aller Light" w:hAnsi="Aller Light"/>
                <w:sz w:val="20"/>
                <w:szCs w:val="20"/>
              </w:rPr>
              <w:t xml:space="preserve"> (wydzielone ścieżki rowerowe, chodniki przy drogach o dużym natężeniu ruchu) a w konsekwencji podniesienie jakości życia mieszkańców</w:t>
            </w:r>
          </w:p>
        </w:tc>
        <w:tc>
          <w:tcPr>
            <w:tcW w:w="2410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Obniżenie jakości życia mieszkańców</w:t>
            </w:r>
            <w:r>
              <w:rPr>
                <w:rFonts w:ascii="Aller Light" w:hAnsi="Aller Light"/>
                <w:sz w:val="20"/>
                <w:szCs w:val="20"/>
              </w:rPr>
              <w:t xml:space="preserve"> oraz poczucia bezpieczeństwa</w:t>
            </w:r>
          </w:p>
        </w:tc>
        <w:tc>
          <w:tcPr>
            <w:tcW w:w="2410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Poprawa jakości infrastruktury technicznej, transportowej</w:t>
            </w:r>
            <w:r>
              <w:rPr>
                <w:rFonts w:ascii="Aller Light" w:hAnsi="Aller Light"/>
                <w:sz w:val="20"/>
                <w:szCs w:val="20"/>
              </w:rPr>
              <w:t>,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społecznej</w:t>
            </w:r>
            <w:r>
              <w:rPr>
                <w:rFonts w:ascii="Aller Light" w:hAnsi="Aller Light"/>
                <w:sz w:val="20"/>
                <w:szCs w:val="20"/>
              </w:rPr>
              <w:t xml:space="preserve"> i publicznej</w:t>
            </w:r>
          </w:p>
        </w:tc>
        <w:tc>
          <w:tcPr>
            <w:tcW w:w="2268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>Niedostosowanie inwestycji w zakresie infrastruktury transportowej (ścieżki rowerowe, chodniki) do bieżących potrzeb mieszkańców i zmieniających się warunków życia (wzrost natężenia ruchu pojazdów)</w:t>
            </w:r>
          </w:p>
        </w:tc>
      </w:tr>
      <w:tr w:rsidR="00920422" w:rsidRPr="00B56BBD" w:rsidTr="00920422">
        <w:trPr>
          <w:trHeight w:hRule="exact" w:val="2002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ller Light" w:hAnsi="Aller Light"/>
                <w:b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20422" w:rsidRPr="000A19C5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 w:rsidRPr="000A19C5">
              <w:rPr>
                <w:rFonts w:ascii="Aller Light" w:hAnsi="Aller Light"/>
                <w:b/>
                <w:sz w:val="20"/>
                <w:szCs w:val="20"/>
              </w:rPr>
              <w:t>Niedostatecznie rozwin</w:t>
            </w:r>
            <w:r>
              <w:rPr>
                <w:rFonts w:ascii="Aller Light" w:hAnsi="Aller Light"/>
                <w:b/>
                <w:sz w:val="20"/>
                <w:szCs w:val="20"/>
              </w:rPr>
              <w:t>ięta sieć połączeń transportowych pomiędzy gminami wchodzącymi w skład LGD</w:t>
            </w:r>
          </w:p>
        </w:tc>
        <w:tc>
          <w:tcPr>
            <w:tcW w:w="3106" w:type="dxa"/>
            <w:shd w:val="clear" w:color="auto" w:fill="auto"/>
          </w:tcPr>
          <w:p w:rsidR="00920422" w:rsidRPr="0015382C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 w:rsidRPr="0015382C">
              <w:rPr>
                <w:rFonts w:ascii="Aller Light" w:hAnsi="Aller Light"/>
                <w:b/>
                <w:sz w:val="20"/>
                <w:szCs w:val="20"/>
              </w:rPr>
              <w:t>Wzrost terytorialnej spójności w konsekwencji rozbudowy sieci usług transportowych</w:t>
            </w:r>
          </w:p>
        </w:tc>
        <w:tc>
          <w:tcPr>
            <w:tcW w:w="2410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>Brak przepływu kapitału ludzkiego, wzrost kosztów wymiany towarów i usług</w:t>
            </w:r>
          </w:p>
        </w:tc>
        <w:tc>
          <w:tcPr>
            <w:tcW w:w="2410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9A13B7">
              <w:rPr>
                <w:rFonts w:ascii="Aller Light" w:hAnsi="Aller Light"/>
                <w:sz w:val="20"/>
                <w:szCs w:val="20"/>
              </w:rPr>
              <w:t>Poprawa jakości infrastruktury technicznej, transportowej</w:t>
            </w:r>
            <w:r>
              <w:rPr>
                <w:rFonts w:ascii="Aller Light" w:hAnsi="Aller Light"/>
                <w:sz w:val="20"/>
                <w:szCs w:val="20"/>
              </w:rPr>
              <w:t>,</w:t>
            </w:r>
            <w:r w:rsidRPr="009A13B7">
              <w:rPr>
                <w:rFonts w:ascii="Aller Light" w:hAnsi="Aller Light"/>
                <w:sz w:val="20"/>
                <w:szCs w:val="20"/>
              </w:rPr>
              <w:t xml:space="preserve"> społecznej</w:t>
            </w:r>
            <w:r>
              <w:rPr>
                <w:rFonts w:ascii="Aller Light" w:hAnsi="Aller Light"/>
                <w:sz w:val="20"/>
                <w:szCs w:val="20"/>
              </w:rPr>
              <w:t xml:space="preserve"> i publicznej</w:t>
            </w:r>
          </w:p>
        </w:tc>
        <w:tc>
          <w:tcPr>
            <w:tcW w:w="2268" w:type="dxa"/>
            <w:shd w:val="clear" w:color="auto" w:fill="auto"/>
          </w:tcPr>
          <w:p w:rsidR="00920422" w:rsidRPr="005816F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>Niedostosowanie inwestycji w zakresie infrastruktury transportowej do bieżących potrzeb mieszkańców a także do zasad funkcjonowania rynku lokalnego</w:t>
            </w:r>
          </w:p>
        </w:tc>
      </w:tr>
      <w:tr w:rsidR="00920422" w:rsidRPr="00B56BBD" w:rsidTr="00920422">
        <w:trPr>
          <w:trHeight w:hRule="exact" w:val="1814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ller Light" w:hAnsi="Aller Light"/>
                <w:b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087BFF">
              <w:rPr>
                <w:rFonts w:ascii="Aller Light" w:hAnsi="Aller Light"/>
                <w:b/>
                <w:sz w:val="20"/>
                <w:szCs w:val="20"/>
              </w:rPr>
              <w:t>Występowanie gr</w:t>
            </w:r>
            <w:r>
              <w:rPr>
                <w:rFonts w:ascii="Aller Light" w:hAnsi="Aller Light"/>
                <w:b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Aller Light" w:hAnsi="Aller Light"/>
                <w:b/>
                <w:sz w:val="20"/>
                <w:szCs w:val="20"/>
              </w:rPr>
              <w:t>defaworyzowanych</w:t>
            </w:r>
            <w:proofErr w:type="spellEnd"/>
            <w:r>
              <w:rPr>
                <w:rFonts w:ascii="Aller Light" w:hAnsi="Aller Light"/>
                <w:b/>
                <w:sz w:val="20"/>
                <w:szCs w:val="20"/>
              </w:rPr>
              <w:t xml:space="preserve">, takich jak </w:t>
            </w:r>
            <w:r w:rsidRPr="00087BFF">
              <w:rPr>
                <w:rFonts w:ascii="Aller Light" w:hAnsi="Aller Light"/>
                <w:b/>
                <w:sz w:val="20"/>
                <w:szCs w:val="20"/>
              </w:rPr>
              <w:t>osoby powyżej 50 roku życia</w:t>
            </w:r>
            <w:r>
              <w:rPr>
                <w:rFonts w:ascii="Aller Light" w:hAnsi="Aller Light"/>
                <w:b/>
                <w:sz w:val="20"/>
                <w:szCs w:val="20"/>
              </w:rPr>
              <w:t xml:space="preserve">, młodzież, </w:t>
            </w:r>
            <w:r w:rsidRPr="00087BFF">
              <w:rPr>
                <w:rFonts w:ascii="Aller Light" w:hAnsi="Aller Light"/>
                <w:b/>
                <w:sz w:val="20"/>
                <w:szCs w:val="20"/>
              </w:rPr>
              <w:t>osoby</w:t>
            </w:r>
            <w:r>
              <w:rPr>
                <w:rFonts w:ascii="Aller Light" w:hAnsi="Aller Light"/>
                <w:b/>
                <w:sz w:val="20"/>
                <w:szCs w:val="20"/>
              </w:rPr>
              <w:t xml:space="preserve"> bezrobotne </w:t>
            </w:r>
            <w:r w:rsidRPr="00087BFF">
              <w:rPr>
                <w:rFonts w:ascii="Aller Light" w:hAnsi="Aller Light"/>
                <w:b/>
                <w:sz w:val="20"/>
                <w:szCs w:val="20"/>
              </w:rPr>
              <w:t>oraz niepełnosprawn</w:t>
            </w:r>
            <w:r>
              <w:rPr>
                <w:rFonts w:ascii="Aller Light" w:hAnsi="Aller Light"/>
                <w:b/>
                <w:sz w:val="20"/>
                <w:szCs w:val="20"/>
              </w:rPr>
              <w:t>e</w:t>
            </w:r>
          </w:p>
        </w:tc>
        <w:tc>
          <w:tcPr>
            <w:tcW w:w="3106" w:type="dxa"/>
            <w:shd w:val="clear" w:color="auto" w:fill="auto"/>
          </w:tcPr>
          <w:p w:rsidR="00920422" w:rsidRPr="00E532A9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sz w:val="20"/>
                <w:szCs w:val="20"/>
              </w:rPr>
              <w:t>Podniesienie kompetencji społecznych i zawodowych osób z obszaru LGD</w:t>
            </w:r>
          </w:p>
        </w:tc>
        <w:tc>
          <w:tcPr>
            <w:tcW w:w="2410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Nisk</w:t>
            </w:r>
            <w:r>
              <w:rPr>
                <w:rFonts w:ascii="Aller Light" w:hAnsi="Aller Light"/>
                <w:sz w:val="20"/>
                <w:szCs w:val="20"/>
              </w:rPr>
              <w:t xml:space="preserve">i standard życia oraz niski stopień zaspokajania potrzeb </w:t>
            </w:r>
            <w:r w:rsidRPr="004E6A4A">
              <w:rPr>
                <w:rFonts w:ascii="Aller Light" w:hAnsi="Aller Light"/>
                <w:sz w:val="20"/>
                <w:szCs w:val="20"/>
              </w:rPr>
              <w:t xml:space="preserve">osób z grup </w:t>
            </w:r>
            <w:proofErr w:type="spellStart"/>
            <w:r w:rsidRPr="004E6A4A">
              <w:rPr>
                <w:rFonts w:ascii="Aller Light" w:hAnsi="Aller Light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Wsparcie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inkluzji </w:t>
            </w:r>
            <w:r w:rsidRPr="004E6A4A">
              <w:rPr>
                <w:rFonts w:ascii="Aller Light" w:hAnsi="Aller Light"/>
                <w:sz w:val="20"/>
                <w:szCs w:val="20"/>
              </w:rPr>
              <w:t>społeczne</w:t>
            </w:r>
            <w:r>
              <w:rPr>
                <w:rFonts w:ascii="Aller Light" w:hAnsi="Aller Light"/>
                <w:sz w:val="20"/>
                <w:szCs w:val="20"/>
              </w:rPr>
              <w:t>j i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rozwoju</w:t>
            </w:r>
            <w:r>
              <w:rPr>
                <w:rFonts w:ascii="Aller Light" w:hAnsi="Aller Light"/>
                <w:sz w:val="20"/>
                <w:szCs w:val="20"/>
              </w:rPr>
              <w:t xml:space="preserve"> </w:t>
            </w:r>
            <w:r w:rsidRPr="004E6A4A">
              <w:rPr>
                <w:rFonts w:ascii="Aller Light" w:hAnsi="Aller Light"/>
                <w:sz w:val="20"/>
                <w:szCs w:val="20"/>
              </w:rPr>
              <w:t>gospodarczego</w:t>
            </w:r>
          </w:p>
        </w:tc>
        <w:tc>
          <w:tcPr>
            <w:tcW w:w="2268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Brak lub niewystarczające kompetencje społeczne i zawodowe pracowników </w:t>
            </w:r>
            <w:r w:rsidRPr="004E6A4A">
              <w:rPr>
                <w:rFonts w:ascii="Aller Light" w:hAnsi="Aller Light"/>
                <w:sz w:val="20"/>
                <w:szCs w:val="20"/>
              </w:rPr>
              <w:t xml:space="preserve">z grup </w:t>
            </w:r>
            <w:proofErr w:type="spellStart"/>
            <w:r w:rsidRPr="004E6A4A">
              <w:rPr>
                <w:rFonts w:ascii="Aller Light" w:hAnsi="Aller Light"/>
                <w:sz w:val="20"/>
                <w:szCs w:val="20"/>
              </w:rPr>
              <w:t>defaworyzowanych</w:t>
            </w:r>
            <w:proofErr w:type="spellEnd"/>
            <w:r w:rsidRPr="004E6A4A">
              <w:rPr>
                <w:rFonts w:ascii="Aller Light" w:hAnsi="Aller Light"/>
                <w:sz w:val="20"/>
                <w:szCs w:val="20"/>
              </w:rPr>
              <w:t xml:space="preserve"> </w:t>
            </w:r>
            <w:r>
              <w:rPr>
                <w:rFonts w:ascii="Aller Light" w:hAnsi="Aller Light"/>
                <w:sz w:val="20"/>
                <w:szCs w:val="20"/>
              </w:rPr>
              <w:t>na</w:t>
            </w:r>
            <w:r w:rsidRPr="004E6A4A">
              <w:rPr>
                <w:rFonts w:ascii="Aller Light" w:hAnsi="Aller Light"/>
                <w:sz w:val="20"/>
                <w:szCs w:val="20"/>
              </w:rPr>
              <w:t xml:space="preserve"> potrzeb</w:t>
            </w:r>
            <w:r>
              <w:rPr>
                <w:rFonts w:ascii="Aller Light" w:hAnsi="Aller Light"/>
                <w:sz w:val="20"/>
                <w:szCs w:val="20"/>
              </w:rPr>
              <w:t>y</w:t>
            </w:r>
            <w:r w:rsidRPr="004E6A4A">
              <w:rPr>
                <w:rFonts w:ascii="Aller Light" w:hAnsi="Aller Light"/>
                <w:sz w:val="20"/>
                <w:szCs w:val="20"/>
              </w:rPr>
              <w:t xml:space="preserve"> rynku pracy</w:t>
            </w:r>
          </w:p>
        </w:tc>
      </w:tr>
      <w:tr w:rsidR="00920422" w:rsidRPr="00B56BBD" w:rsidTr="00920422">
        <w:trPr>
          <w:trHeight w:hRule="exact" w:val="2994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b/>
                <w:sz w:val="20"/>
                <w:szCs w:val="20"/>
              </w:rPr>
            </w:pP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>Niew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>ystarczająca ilość osób prowadzących szeroko rozumianą działalność gospodarczą (</w:t>
            </w: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>mał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>e</w:t>
            </w: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 xml:space="preserve"> i średn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>ie</w:t>
            </w: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 xml:space="preserve"> przedsiębiorstw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>a, produkcja i dystrybucja towarów lokalnych przez mieszkańców)</w:t>
            </w:r>
          </w:p>
        </w:tc>
        <w:tc>
          <w:tcPr>
            <w:tcW w:w="3106" w:type="dxa"/>
            <w:shd w:val="clear" w:color="auto" w:fill="auto"/>
          </w:tcPr>
          <w:p w:rsidR="00920422" w:rsidRPr="00B56BBD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sz w:val="20"/>
                <w:szCs w:val="20"/>
              </w:rPr>
              <w:t xml:space="preserve">Wzmocnienie gospodarki lokalnej i lokalnej produkcji towarów i usług poprzez stworzenie możliwości rozwoju szeroko rozumianej działalności gospodarczej </w:t>
            </w:r>
            <w:r>
              <w:rPr>
                <w:rFonts w:ascii="Aller Light" w:hAnsi="Aller Light"/>
                <w:sz w:val="20"/>
                <w:szCs w:val="20"/>
              </w:rPr>
              <w:t>(sprzyjające  warunki lokalowe, doradztwo, sprofilowane szkolenia dla osób rozpoczynających i prowadzących działalność gospodarczą)</w:t>
            </w: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 w:rsidRPr="00B56BBD">
              <w:rPr>
                <w:rFonts w:ascii="Aller Light" w:hAnsi="Aller Light"/>
                <w:sz w:val="20"/>
                <w:szCs w:val="20"/>
              </w:rPr>
              <w:t xml:space="preserve">Spowolnienie rozwoju gospodarczego na obszarach </w:t>
            </w:r>
            <w:r>
              <w:rPr>
                <w:rFonts w:ascii="Aller Light" w:hAnsi="Aller Light"/>
                <w:sz w:val="20"/>
                <w:szCs w:val="20"/>
              </w:rPr>
              <w:t>słabiej rozwiniętych oraz utrwalenie bierności społecznej niektórych kategorii mieszkańców obszaru LGD</w:t>
            </w:r>
          </w:p>
        </w:tc>
        <w:tc>
          <w:tcPr>
            <w:tcW w:w="2410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Wsparcie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inkluzji </w:t>
            </w:r>
            <w:r w:rsidRPr="004E6A4A">
              <w:rPr>
                <w:rFonts w:ascii="Aller Light" w:hAnsi="Aller Light"/>
                <w:sz w:val="20"/>
                <w:szCs w:val="20"/>
              </w:rPr>
              <w:t>społeczne</w:t>
            </w:r>
            <w:r>
              <w:rPr>
                <w:rFonts w:ascii="Aller Light" w:hAnsi="Aller Light"/>
                <w:sz w:val="20"/>
                <w:szCs w:val="20"/>
              </w:rPr>
              <w:t>j i</w:t>
            </w:r>
          </w:p>
          <w:p w:rsidR="00920422" w:rsidRPr="00B56BBD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rozwoju</w:t>
            </w:r>
            <w:r>
              <w:rPr>
                <w:rFonts w:ascii="Aller Light" w:hAnsi="Aller Light"/>
                <w:sz w:val="20"/>
                <w:szCs w:val="20"/>
              </w:rPr>
              <w:t xml:space="preserve"> </w:t>
            </w:r>
            <w:r w:rsidRPr="004E6A4A">
              <w:rPr>
                <w:rFonts w:ascii="Aller Light" w:hAnsi="Aller Light"/>
                <w:sz w:val="20"/>
                <w:szCs w:val="20"/>
              </w:rPr>
              <w:t>gospodarczego</w:t>
            </w:r>
          </w:p>
        </w:tc>
        <w:tc>
          <w:tcPr>
            <w:tcW w:w="2268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Niski poziom przedsiębiorczości mieszkańców</w:t>
            </w:r>
            <w:r>
              <w:rPr>
                <w:rFonts w:ascii="Aller Light" w:hAnsi="Aller Light"/>
                <w:sz w:val="20"/>
                <w:szCs w:val="20"/>
              </w:rPr>
              <w:t xml:space="preserve">, </w:t>
            </w:r>
            <w:r w:rsidRPr="004E6A4A">
              <w:rPr>
                <w:rFonts w:ascii="Aller Light" w:hAnsi="Aller Light"/>
                <w:sz w:val="20"/>
                <w:szCs w:val="20"/>
              </w:rPr>
              <w:t>brak kompetencji</w:t>
            </w:r>
            <w:r>
              <w:rPr>
                <w:rFonts w:ascii="Aller Light" w:hAnsi="Aller Light"/>
                <w:sz w:val="20"/>
                <w:szCs w:val="20"/>
              </w:rPr>
              <w:t xml:space="preserve"> oraz niska świadomość możliwości korzystania z wsparcia instytucjonalnego, wysoki poziom zbiurokratyzowania działań</w:t>
            </w:r>
          </w:p>
        </w:tc>
      </w:tr>
      <w:tr w:rsidR="00920422" w:rsidRPr="00B56BBD" w:rsidTr="00920422">
        <w:trPr>
          <w:trHeight w:hRule="exact" w:val="2527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color w:val="000000" w:themeColor="text1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20422" w:rsidRPr="00087BFF" w:rsidRDefault="00920422" w:rsidP="00E04FAB">
            <w:pPr>
              <w:rPr>
                <w:rStyle w:val="PogrubienieTeksttreci211pt"/>
                <w:rFonts w:ascii="Aller Light" w:hAnsi="Aller Light"/>
                <w:sz w:val="20"/>
                <w:szCs w:val="20"/>
              </w:rPr>
            </w:pPr>
            <w:r w:rsidRPr="00403302">
              <w:rPr>
                <w:rStyle w:val="PogrubienieTeksttreci211pt"/>
                <w:rFonts w:ascii="Aller Light" w:hAnsi="Aller Light"/>
                <w:color w:val="000000" w:themeColor="text1"/>
                <w:sz w:val="20"/>
                <w:szCs w:val="20"/>
              </w:rPr>
              <w:t>Dysproporcje pomiędzy miastem a wsią w zakresie dostępu do usług rynkowych</w:t>
            </w:r>
          </w:p>
        </w:tc>
        <w:tc>
          <w:tcPr>
            <w:tcW w:w="3106" w:type="dxa"/>
            <w:shd w:val="clear" w:color="auto" w:fill="auto"/>
          </w:tcPr>
          <w:p w:rsidR="00920422" w:rsidRPr="00403302" w:rsidRDefault="00920422" w:rsidP="00E04FAB">
            <w:pPr>
              <w:rPr>
                <w:rFonts w:ascii="Aller" w:hAnsi="Aller"/>
                <w:color w:val="000000" w:themeColor="text1"/>
                <w:sz w:val="20"/>
                <w:szCs w:val="20"/>
              </w:rPr>
            </w:pPr>
            <w:r w:rsidRPr="00403302">
              <w:rPr>
                <w:rFonts w:ascii="Aller" w:hAnsi="Aller"/>
                <w:b/>
                <w:bCs/>
                <w:color w:val="000000" w:themeColor="text1"/>
                <w:sz w:val="20"/>
                <w:szCs w:val="20"/>
              </w:rPr>
              <w:t>Rozwój usług zmniejszających dysproporcje między obszarami wiejskimi a miejskimi</w:t>
            </w:r>
            <w:r w:rsidRPr="00403302">
              <w:rPr>
                <w:rFonts w:ascii="Aller" w:hAnsi="Aller"/>
                <w:color w:val="000000" w:themeColor="text1"/>
                <w:sz w:val="20"/>
                <w:szCs w:val="20"/>
              </w:rPr>
              <w:t xml:space="preserve"> (np. usługi kosmetyczne, motoryzacyjne, fryzjerskie, zdrowotne.)</w:t>
            </w:r>
          </w:p>
          <w:p w:rsidR="00920422" w:rsidRPr="00E532A9" w:rsidRDefault="00920422" w:rsidP="00E04FAB">
            <w:pPr>
              <w:spacing w:line="245" w:lineRule="exact"/>
              <w:rPr>
                <w:rFonts w:ascii="Aller Light" w:hAnsi="Aller Light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 w:rsidRPr="00B56BBD">
              <w:rPr>
                <w:rFonts w:ascii="Aller Light" w:hAnsi="Aller Light"/>
                <w:sz w:val="20"/>
                <w:szCs w:val="20"/>
              </w:rPr>
              <w:t xml:space="preserve">Spowolnienie rozwoju gospodarczego na obszarach </w:t>
            </w:r>
            <w:r>
              <w:rPr>
                <w:rFonts w:ascii="Aller Light" w:hAnsi="Aller Light"/>
                <w:sz w:val="20"/>
                <w:szCs w:val="20"/>
              </w:rPr>
              <w:t>słabiej rozwiniętych oraz utrwalenie bierności społecznej niektórych kategorii mieszkańców obszaru LGD</w:t>
            </w:r>
          </w:p>
        </w:tc>
        <w:tc>
          <w:tcPr>
            <w:tcW w:w="2410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Wsparcie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inkluzji </w:t>
            </w:r>
            <w:r w:rsidRPr="004E6A4A">
              <w:rPr>
                <w:rFonts w:ascii="Aller Light" w:hAnsi="Aller Light"/>
                <w:sz w:val="20"/>
                <w:szCs w:val="20"/>
              </w:rPr>
              <w:t>społeczne</w:t>
            </w:r>
            <w:r>
              <w:rPr>
                <w:rFonts w:ascii="Aller Light" w:hAnsi="Aller Light"/>
                <w:sz w:val="20"/>
                <w:szCs w:val="20"/>
              </w:rPr>
              <w:t>j i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rozwoju</w:t>
            </w:r>
            <w:r>
              <w:rPr>
                <w:rFonts w:ascii="Aller Light" w:hAnsi="Aller Light"/>
                <w:sz w:val="20"/>
                <w:szCs w:val="20"/>
              </w:rPr>
              <w:t xml:space="preserve"> </w:t>
            </w:r>
            <w:r w:rsidRPr="004E6A4A">
              <w:rPr>
                <w:rFonts w:ascii="Aller Light" w:hAnsi="Aller Light"/>
                <w:sz w:val="20"/>
                <w:szCs w:val="20"/>
              </w:rPr>
              <w:t>gospodarczego</w:t>
            </w:r>
          </w:p>
        </w:tc>
        <w:tc>
          <w:tcPr>
            <w:tcW w:w="2268" w:type="dxa"/>
            <w:shd w:val="clear" w:color="auto" w:fill="auto"/>
          </w:tcPr>
          <w:p w:rsidR="00920422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Niski poziom przedsiębiorczości mieszkańców</w:t>
            </w:r>
            <w:r>
              <w:rPr>
                <w:rFonts w:ascii="Aller Light" w:hAnsi="Aller Light"/>
                <w:sz w:val="20"/>
                <w:szCs w:val="20"/>
              </w:rPr>
              <w:t xml:space="preserve">, </w:t>
            </w:r>
            <w:r w:rsidRPr="004E6A4A">
              <w:rPr>
                <w:rFonts w:ascii="Aller Light" w:hAnsi="Aller Light"/>
                <w:sz w:val="20"/>
                <w:szCs w:val="20"/>
              </w:rPr>
              <w:t>brak kompetencji</w:t>
            </w:r>
            <w:r>
              <w:rPr>
                <w:rFonts w:ascii="Aller Light" w:hAnsi="Aller Light"/>
                <w:sz w:val="20"/>
                <w:szCs w:val="20"/>
              </w:rPr>
              <w:t xml:space="preserve"> oraz niska świadomość możliwości korzystania z wsparcia instytucjonalnego, wysoki poziom zbiurokratyzowania działań</w:t>
            </w:r>
          </w:p>
        </w:tc>
      </w:tr>
      <w:tr w:rsidR="00920422" w:rsidRPr="00B56BBD" w:rsidTr="00920422">
        <w:trPr>
          <w:trHeight w:hRule="exact" w:val="2113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920422" w:rsidRPr="00B56BBD" w:rsidRDefault="00920422" w:rsidP="00E04FAB">
            <w:pPr>
              <w:spacing w:line="269" w:lineRule="exact"/>
              <w:rPr>
                <w:rFonts w:ascii="Aller Light" w:hAnsi="Aller Light"/>
                <w:sz w:val="20"/>
                <w:szCs w:val="20"/>
              </w:rPr>
            </w:pP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 xml:space="preserve">Niekorzystna struktura osób bezrobotnych (osoby długotrwale pozostające bez pracy oraz 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 xml:space="preserve">osoby </w:t>
            </w:r>
            <w:r w:rsidRPr="00087BFF">
              <w:rPr>
                <w:rStyle w:val="PogrubienieTeksttreci211pt"/>
                <w:rFonts w:ascii="Aller Light" w:hAnsi="Aller Light"/>
                <w:sz w:val="20"/>
                <w:szCs w:val="20"/>
              </w:rPr>
              <w:t>młode</w:t>
            </w:r>
            <w:r>
              <w:rPr>
                <w:rStyle w:val="PogrubienieTeksttreci211pt"/>
                <w:rFonts w:ascii="Aller Light" w:hAnsi="Aller Light"/>
                <w:sz w:val="20"/>
                <w:szCs w:val="20"/>
              </w:rPr>
              <w:t>).</w:t>
            </w:r>
          </w:p>
        </w:tc>
        <w:tc>
          <w:tcPr>
            <w:tcW w:w="3106" w:type="dxa"/>
            <w:shd w:val="clear" w:color="auto" w:fill="auto"/>
          </w:tcPr>
          <w:p w:rsidR="00920422" w:rsidRPr="00E532A9" w:rsidRDefault="00920422" w:rsidP="00E04FAB">
            <w:pPr>
              <w:spacing w:line="245" w:lineRule="exact"/>
              <w:rPr>
                <w:rFonts w:ascii="Aller Light" w:hAnsi="Aller Light"/>
                <w:b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sz w:val="20"/>
                <w:szCs w:val="20"/>
              </w:rPr>
              <w:t>Podniesienie kompetencji zawodowych osób obszaru LGD oraz zacieśnienie współpracy szkół z sektorem przedsiębiorstw działających na obszarze LGD</w:t>
            </w: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 w:rsidRPr="00B56BBD">
              <w:rPr>
                <w:rFonts w:ascii="Aller Light" w:hAnsi="Aller Light"/>
                <w:sz w:val="20"/>
                <w:szCs w:val="20"/>
              </w:rPr>
              <w:t xml:space="preserve">Spowolnienie rozwoju gospodarczego, obniżenie jakości życia mieszkańców, </w:t>
            </w:r>
            <w:r>
              <w:rPr>
                <w:rFonts w:ascii="Aller Light" w:hAnsi="Aller Light"/>
                <w:sz w:val="20"/>
                <w:szCs w:val="20"/>
              </w:rPr>
              <w:t xml:space="preserve">trudności w zaspokajaniu przez nich potrzeb, </w:t>
            </w:r>
            <w:r w:rsidRPr="00B56BBD">
              <w:rPr>
                <w:rFonts w:ascii="Aller Light" w:hAnsi="Aller Light"/>
                <w:sz w:val="20"/>
                <w:szCs w:val="20"/>
              </w:rPr>
              <w:t>problemy społeczne</w:t>
            </w:r>
            <w:r>
              <w:rPr>
                <w:rFonts w:ascii="Aller Light" w:hAnsi="Aller Light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Wsparcie</w:t>
            </w:r>
          </w:p>
          <w:p w:rsidR="00920422" w:rsidRPr="004E6A4A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 xml:space="preserve">inkluzji </w:t>
            </w:r>
            <w:r w:rsidRPr="004E6A4A">
              <w:rPr>
                <w:rFonts w:ascii="Aller Light" w:hAnsi="Aller Light"/>
                <w:sz w:val="20"/>
                <w:szCs w:val="20"/>
              </w:rPr>
              <w:t>społeczne</w:t>
            </w:r>
            <w:r>
              <w:rPr>
                <w:rFonts w:ascii="Aller Light" w:hAnsi="Aller Light"/>
                <w:sz w:val="20"/>
                <w:szCs w:val="20"/>
              </w:rPr>
              <w:t>j i</w:t>
            </w:r>
          </w:p>
          <w:p w:rsidR="00920422" w:rsidRPr="00B56BBD" w:rsidRDefault="00920422" w:rsidP="00E04FAB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ller Light" w:hAnsi="Aller Light"/>
                <w:sz w:val="20"/>
                <w:szCs w:val="20"/>
              </w:rPr>
            </w:pPr>
            <w:r w:rsidRPr="004E6A4A">
              <w:rPr>
                <w:rFonts w:ascii="Aller Light" w:hAnsi="Aller Light"/>
                <w:sz w:val="20"/>
                <w:szCs w:val="20"/>
              </w:rPr>
              <w:t>rozwoju</w:t>
            </w:r>
            <w:r>
              <w:rPr>
                <w:rFonts w:ascii="Aller Light" w:hAnsi="Aller Light"/>
                <w:sz w:val="20"/>
                <w:szCs w:val="20"/>
              </w:rPr>
              <w:t xml:space="preserve"> </w:t>
            </w:r>
            <w:r w:rsidRPr="004E6A4A">
              <w:rPr>
                <w:rFonts w:ascii="Aller Light" w:hAnsi="Aller Light"/>
                <w:sz w:val="20"/>
                <w:szCs w:val="20"/>
              </w:rPr>
              <w:t>gospodarczego</w:t>
            </w:r>
          </w:p>
        </w:tc>
        <w:tc>
          <w:tcPr>
            <w:tcW w:w="2268" w:type="dxa"/>
            <w:shd w:val="clear" w:color="auto" w:fill="auto"/>
          </w:tcPr>
          <w:p w:rsidR="00920422" w:rsidRPr="00B56BBD" w:rsidRDefault="00920422" w:rsidP="00E04FAB">
            <w:pPr>
              <w:spacing w:line="245" w:lineRule="exact"/>
              <w:rPr>
                <w:rFonts w:ascii="Aller Light" w:hAnsi="Aller Light"/>
                <w:sz w:val="20"/>
                <w:szCs w:val="20"/>
              </w:rPr>
            </w:pPr>
            <w:r>
              <w:rPr>
                <w:rFonts w:ascii="Aller Light" w:hAnsi="Aller Light"/>
                <w:sz w:val="20"/>
                <w:szCs w:val="20"/>
              </w:rPr>
              <w:t>Brak umiejętności praktycznych, doświadczenia zawodowego i n</w:t>
            </w:r>
            <w:r w:rsidRPr="00B56BBD">
              <w:rPr>
                <w:rFonts w:ascii="Aller Light" w:hAnsi="Aller Light"/>
                <w:sz w:val="20"/>
                <w:szCs w:val="20"/>
              </w:rPr>
              <w:t>iedostosowanie kompetencji pracowników do potrzeb rynku pracy</w:t>
            </w:r>
          </w:p>
        </w:tc>
      </w:tr>
      <w:tr w:rsidR="00920422" w:rsidRPr="00B56BBD" w:rsidTr="00920422">
        <w:trPr>
          <w:trHeight w:hRule="exact" w:val="2712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color w:val="auto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20422" w:rsidRPr="00D35CC3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>Niski poziom partycypacji społecznej w percepcji i upowszechnianiu zasobów lokalnych</w:t>
            </w:r>
          </w:p>
        </w:tc>
        <w:tc>
          <w:tcPr>
            <w:tcW w:w="3106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color w:val="auto"/>
                <w:sz w:val="20"/>
                <w:szCs w:val="20"/>
              </w:rPr>
              <w:t>Rozwój działań w zakresie tworzenia lokalnych produktów turystycznych, kulturalnych, sportowych i rozrywkowych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</w:t>
            </w:r>
            <w:r w:rsidRPr="00F11857">
              <w:rPr>
                <w:rFonts w:ascii="Aller Light" w:hAnsi="Aller Light"/>
                <w:color w:val="auto"/>
                <w:sz w:val="20"/>
                <w:szCs w:val="20"/>
              </w:rPr>
              <w:t xml:space="preserve">w oparciu 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o wa</w:t>
            </w:r>
            <w:r w:rsidRPr="00F11857">
              <w:rPr>
                <w:rFonts w:ascii="Aller Light" w:hAnsi="Aller Light"/>
                <w:color w:val="auto"/>
                <w:sz w:val="20"/>
                <w:szCs w:val="20"/>
              </w:rPr>
              <w:t xml:space="preserve">lory historyczne,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przyrodnicze i architektoniczne wraz ze wspieraniem technicznym i materialnym tych działań, prowadzące do wzrostu aktywności </w:t>
            </w: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>społeczne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j</w:t>
            </w:r>
          </w:p>
        </w:tc>
        <w:tc>
          <w:tcPr>
            <w:tcW w:w="2410" w:type="dxa"/>
            <w:shd w:val="clear" w:color="auto" w:fill="auto"/>
          </w:tcPr>
          <w:p w:rsidR="00920422" w:rsidRPr="00C418B9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C418B9">
              <w:rPr>
                <w:rFonts w:ascii="Aller Light" w:hAnsi="Aller Light"/>
                <w:color w:val="auto"/>
                <w:sz w:val="20"/>
                <w:szCs w:val="20"/>
              </w:rPr>
              <w:t>Pogłębienie bierności społecznej mieszkańc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ów</w:t>
            </w:r>
            <w:r w:rsidRPr="00C418B9">
              <w:rPr>
                <w:rFonts w:ascii="Aller Light" w:hAnsi="Aller Light"/>
                <w:color w:val="auto"/>
                <w:sz w:val="20"/>
                <w:szCs w:val="20"/>
              </w:rPr>
              <w:t xml:space="preserve"> obszar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u</w:t>
            </w:r>
            <w:r w:rsidRPr="00C418B9">
              <w:rPr>
                <w:rFonts w:ascii="Aller Light" w:hAnsi="Aller Light"/>
                <w:color w:val="auto"/>
                <w:sz w:val="20"/>
                <w:szCs w:val="20"/>
              </w:rPr>
              <w:t xml:space="preserve"> LGD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. Brak wiedzy o zasobach lokalnych.</w:t>
            </w: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 xml:space="preserve">Wzmocnienie kapitału społecznego w kształtowaniu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i </w:t>
            </w: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>rozwoju obszaru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LGD</w:t>
            </w:r>
          </w:p>
        </w:tc>
        <w:tc>
          <w:tcPr>
            <w:tcW w:w="2268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 xml:space="preserve">Niski poziom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zaufania społecznego i wynikający z tego brak chęci współuczestnictwa i współdziałania na rzecz innych</w:t>
            </w:r>
          </w:p>
        </w:tc>
      </w:tr>
      <w:tr w:rsidR="00920422" w:rsidRPr="00B56BBD" w:rsidTr="00920422">
        <w:trPr>
          <w:trHeight w:hRule="exact" w:val="2427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color w:val="auto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20422" w:rsidRPr="00171EB8" w:rsidRDefault="00920422" w:rsidP="00E04FAB">
            <w:pPr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>Zbyt niski poziom integracji społecznej</w:t>
            </w:r>
            <w:r w:rsidRPr="00171EB8"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</w:tcPr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color w:val="auto"/>
                <w:sz w:val="20"/>
                <w:szCs w:val="20"/>
              </w:rPr>
              <w:t>Wspieranie inicjatyw lokalnych na rzecz integracji społeczności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</w:t>
            </w:r>
            <w:r w:rsidRPr="00171EB8">
              <w:rPr>
                <w:rFonts w:ascii="Aller Light" w:hAnsi="Aller Light"/>
                <w:color w:val="auto"/>
                <w:sz w:val="20"/>
                <w:szCs w:val="20"/>
              </w:rPr>
              <w:t>poprzez organizację wycieczek tematycznych, wyjazdów i wizyt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</w:t>
            </w:r>
            <w:r w:rsidRPr="00171EB8">
              <w:rPr>
                <w:rFonts w:ascii="Aller Light" w:hAnsi="Aller Light"/>
                <w:color w:val="auto"/>
                <w:sz w:val="20"/>
                <w:szCs w:val="20"/>
              </w:rPr>
              <w:t>studyjnych</w:t>
            </w:r>
          </w:p>
          <w:p w:rsidR="00920422" w:rsidRPr="00171EB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  <w:p w:rsidR="00920422" w:rsidRPr="00171EB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0422" w:rsidRPr="00C418B9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Podtrzymanie luźnych </w:t>
            </w:r>
            <w:r w:rsidRPr="00C418B9">
              <w:rPr>
                <w:rFonts w:ascii="Aller Light" w:hAnsi="Aller Light"/>
                <w:color w:val="auto"/>
                <w:sz w:val="20"/>
                <w:szCs w:val="20"/>
              </w:rPr>
              <w:t>więzi społecznych pomiędzy mieszkańcami gmin na obszarze LGD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 xml:space="preserve">Wzmocnienie kapitału społecznego w kształtowaniu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i </w:t>
            </w: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>rozwoju obszaru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LGD</w:t>
            </w:r>
          </w:p>
        </w:tc>
        <w:tc>
          <w:tcPr>
            <w:tcW w:w="2268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Słabość inicjatyw na rzecz budowy więzi społecznych. Opór mieszkańców w obszarze współuczestnictwa w budowaniu zwartego, na poziomie więzi społecznych obszaru </w:t>
            </w:r>
          </w:p>
        </w:tc>
      </w:tr>
      <w:tr w:rsidR="00920422" w:rsidRPr="00B56BBD" w:rsidTr="00920422">
        <w:trPr>
          <w:trHeight w:hRule="exact" w:val="2674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jc w:val="center"/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</w:tcPr>
          <w:p w:rsidR="00920422" w:rsidRPr="00C73338" w:rsidRDefault="00920422" w:rsidP="00E04FAB">
            <w:pPr>
              <w:rPr>
                <w:rFonts w:ascii="Aller Light" w:hAnsi="Aller Light"/>
                <w:b/>
                <w:color w:val="auto"/>
                <w:sz w:val="20"/>
                <w:szCs w:val="20"/>
              </w:rPr>
            </w:pPr>
            <w:r w:rsidRPr="00C73338">
              <w:rPr>
                <w:rFonts w:ascii="Aller Light" w:hAnsi="Aller Light"/>
                <w:b/>
                <w:color w:val="auto"/>
                <w:sz w:val="20"/>
                <w:szCs w:val="20"/>
              </w:rPr>
              <w:t xml:space="preserve">Niski poziom świadomości ekologicznej wśród mieszkańców </w:t>
            </w:r>
          </w:p>
        </w:tc>
        <w:tc>
          <w:tcPr>
            <w:tcW w:w="3106" w:type="dxa"/>
            <w:shd w:val="clear" w:color="auto" w:fill="auto"/>
          </w:tcPr>
          <w:p w:rsidR="00920422" w:rsidRPr="00C7333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color w:val="auto"/>
                <w:sz w:val="20"/>
                <w:szCs w:val="20"/>
              </w:rPr>
              <w:t>Podniesienie wiedzy i związana z tym zmiana przyzwyczajeń w odniesieniu do środowiska naturalnego</w:t>
            </w:r>
            <w:r w:rsidRPr="00C73338">
              <w:rPr>
                <w:rFonts w:ascii="Aller Light" w:hAnsi="Aller Light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(szkolenia, działania promocyjne, wyjazdy </w:t>
            </w:r>
            <w:r w:rsidRPr="00403302">
              <w:rPr>
                <w:rFonts w:ascii="Aller Light" w:hAnsi="Aller Light"/>
                <w:color w:val="000000" w:themeColor="text1"/>
                <w:sz w:val="20"/>
                <w:szCs w:val="20"/>
              </w:rPr>
              <w:t>studyjne, r</w:t>
            </w:r>
            <w:r w:rsidRPr="00403302">
              <w:rPr>
                <w:rFonts w:ascii="Aller Light" w:hAnsi="Aller Light"/>
                <w:bCs/>
                <w:color w:val="000000" w:themeColor="text1"/>
                <w:sz w:val="20"/>
                <w:szCs w:val="20"/>
              </w:rPr>
              <w:t>ozwój energetyki ze źródeł odnawialnych)</w:t>
            </w:r>
          </w:p>
        </w:tc>
        <w:tc>
          <w:tcPr>
            <w:tcW w:w="2410" w:type="dxa"/>
            <w:shd w:val="clear" w:color="auto" w:fill="auto"/>
          </w:tcPr>
          <w:p w:rsidR="00920422" w:rsidRPr="00C7333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Pogorszenie się stanu środowiska naturalnego/zasobów naturalnych </w:t>
            </w:r>
          </w:p>
        </w:tc>
        <w:tc>
          <w:tcPr>
            <w:tcW w:w="2410" w:type="dxa"/>
            <w:shd w:val="clear" w:color="auto" w:fill="auto"/>
          </w:tcPr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 xml:space="preserve">Wzmocnienie kapitału społecznego w kształtowaniu 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i </w:t>
            </w:r>
            <w:r w:rsidRPr="00B56BBD">
              <w:rPr>
                <w:rFonts w:ascii="Aller Light" w:hAnsi="Aller Light"/>
                <w:color w:val="auto"/>
                <w:sz w:val="20"/>
                <w:szCs w:val="20"/>
              </w:rPr>
              <w:t>rozwoju obszaru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LGD</w:t>
            </w:r>
          </w:p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  <w:p w:rsidR="00920422" w:rsidRPr="00C7333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>Brak wiedzy mieszkańców o właściwym postępowaniu i o sposobach ochrony środowiska naturalnego.</w:t>
            </w:r>
          </w:p>
          <w:p w:rsidR="00920422" w:rsidRPr="00C7333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Brak środków finansowych na realizację inwestycji </w:t>
            </w:r>
            <w:proofErr w:type="spellStart"/>
            <w:r>
              <w:rPr>
                <w:rFonts w:ascii="Aller Light" w:hAnsi="Aller Light"/>
                <w:color w:val="auto"/>
                <w:sz w:val="20"/>
                <w:szCs w:val="20"/>
              </w:rPr>
              <w:t>prośrodowiskowych</w:t>
            </w:r>
            <w:proofErr w:type="spellEnd"/>
            <w:r>
              <w:rPr>
                <w:rFonts w:ascii="Aller Light" w:hAnsi="Aller Light"/>
                <w:color w:val="auto"/>
                <w:sz w:val="20"/>
                <w:szCs w:val="20"/>
              </w:rPr>
              <w:t>.</w:t>
            </w:r>
          </w:p>
        </w:tc>
      </w:tr>
      <w:tr w:rsidR="00920422" w:rsidRPr="00B56BBD" w:rsidTr="00920422">
        <w:trPr>
          <w:trHeight w:hRule="exact" w:val="2853"/>
          <w:jc w:val="center"/>
        </w:trPr>
        <w:tc>
          <w:tcPr>
            <w:tcW w:w="1129" w:type="dxa"/>
            <w:shd w:val="clear" w:color="auto" w:fill="FFD966" w:themeFill="accent4" w:themeFillTint="99"/>
            <w:vAlign w:val="center"/>
          </w:tcPr>
          <w:p w:rsidR="00920422" w:rsidRPr="00920422" w:rsidRDefault="00920422" w:rsidP="00920422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Teksttreci211pt"/>
                <w:rFonts w:ascii="Aller Light" w:hAnsi="Aller Light"/>
                <w:b w:val="0"/>
                <w:color w:val="auto"/>
                <w:sz w:val="20"/>
                <w:szCs w:val="20"/>
              </w:rPr>
            </w:pPr>
            <w:r w:rsidRPr="00920422">
              <w:rPr>
                <w:rFonts w:ascii="Aller Light" w:hAnsi="Aller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20422" w:rsidRPr="00171EB8" w:rsidRDefault="00920422" w:rsidP="00E04FAB">
            <w:pPr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</w:pPr>
            <w:r w:rsidRPr="00171EB8"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 xml:space="preserve">Niski poziom wiedzy o </w:t>
            </w:r>
            <w:r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>zasobach lokalnych</w:t>
            </w:r>
            <w:r w:rsidRPr="00171EB8">
              <w:rPr>
                <w:rStyle w:val="PogrubienieTeksttreci211pt"/>
                <w:rFonts w:ascii="Aller Light" w:hAnsi="Aller Light"/>
                <w:color w:val="auto"/>
                <w:sz w:val="20"/>
                <w:szCs w:val="20"/>
              </w:rPr>
              <w:t xml:space="preserve"> LGD </w:t>
            </w:r>
          </w:p>
        </w:tc>
        <w:tc>
          <w:tcPr>
            <w:tcW w:w="3106" w:type="dxa"/>
            <w:shd w:val="clear" w:color="auto" w:fill="auto"/>
          </w:tcPr>
          <w:p w:rsidR="00920422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 w:rsidRPr="00E532A9">
              <w:rPr>
                <w:rFonts w:ascii="Aller Light" w:hAnsi="Aller Light"/>
                <w:b/>
                <w:color w:val="auto"/>
                <w:sz w:val="20"/>
                <w:szCs w:val="20"/>
              </w:rPr>
              <w:t>Podniesienie wiedzy na temat historii, kultury, przyrody, kulinariów ochrony środowiska, zmian klimatycznych, ekologii a także innowacji gmin wchodzących w skład LGD</w:t>
            </w:r>
            <w:r>
              <w:rPr>
                <w:rFonts w:ascii="Aller Light" w:hAnsi="Aller Light"/>
                <w:color w:val="auto"/>
                <w:sz w:val="20"/>
                <w:szCs w:val="20"/>
              </w:rPr>
              <w:t xml:space="preserve"> poprzez promocję zasobów lokalnych i  organizację wydarzeń kulturalnych, wychowawczych, sportowych czy rozrywkowych</w:t>
            </w:r>
          </w:p>
          <w:p w:rsidR="00920422" w:rsidRPr="00171EB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  <w:p w:rsidR="00920422" w:rsidRPr="00171EB8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20422" w:rsidRPr="00C418B9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>Obniżenie się wiedzy mieszkańców LGD oraz zainteresowanych osób spoza tego obszaru na temat zasobów gmin wchodzących w skład LGD</w:t>
            </w:r>
          </w:p>
        </w:tc>
        <w:tc>
          <w:tcPr>
            <w:tcW w:w="2410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>Upowszechnienie wiedzy o obszarze LGD</w:t>
            </w:r>
          </w:p>
        </w:tc>
        <w:tc>
          <w:tcPr>
            <w:tcW w:w="2268" w:type="dxa"/>
            <w:shd w:val="clear" w:color="auto" w:fill="auto"/>
          </w:tcPr>
          <w:p w:rsidR="00920422" w:rsidRPr="00B56BBD" w:rsidRDefault="00920422" w:rsidP="00E04FAB">
            <w:pPr>
              <w:rPr>
                <w:rFonts w:ascii="Aller Light" w:hAnsi="Aller Light"/>
                <w:color w:val="auto"/>
                <w:sz w:val="20"/>
                <w:szCs w:val="20"/>
              </w:rPr>
            </w:pPr>
            <w:r>
              <w:rPr>
                <w:rFonts w:ascii="Aller Light" w:hAnsi="Aller Light"/>
                <w:color w:val="auto"/>
                <w:sz w:val="20"/>
                <w:szCs w:val="20"/>
              </w:rPr>
              <w:t>Wyczerpanie się dotychczasowych form promocji zasobów lokalnych, zmieniająca się sytuacja gmin z obszaru LGD wpływająca na potencjał obszaru, wzrost zainteresowania zasobami lokalnymi wśród mieszkańców i zainteresowanych</w:t>
            </w:r>
          </w:p>
        </w:tc>
      </w:tr>
    </w:tbl>
    <w:p w:rsidR="009478E0" w:rsidRDefault="009478E0"/>
    <w:sectPr w:rsidR="009478E0" w:rsidSect="004B6CDF">
      <w:headerReference w:type="default" r:id="rId6"/>
      <w:pgSz w:w="16838" w:h="11906" w:orient="landscape"/>
      <w:pgMar w:top="10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2E" w:rsidRDefault="004C192E" w:rsidP="00A22CE6">
      <w:r>
        <w:separator/>
      </w:r>
    </w:p>
  </w:endnote>
  <w:endnote w:type="continuationSeparator" w:id="0">
    <w:p w:rsidR="004C192E" w:rsidRDefault="004C192E" w:rsidP="00A2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ler Light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2E" w:rsidRDefault="004C192E" w:rsidP="00A22CE6">
      <w:r>
        <w:separator/>
      </w:r>
    </w:p>
  </w:footnote>
  <w:footnote w:type="continuationSeparator" w:id="0">
    <w:p w:rsidR="004C192E" w:rsidRDefault="004C192E" w:rsidP="00A22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997"/>
      <w:gridCol w:w="6997"/>
    </w:tblGrid>
    <w:tr w:rsidR="00A22CE6" w:rsidTr="00A11EFD">
      <w:tc>
        <w:tcPr>
          <w:tcW w:w="6997" w:type="dxa"/>
        </w:tcPr>
        <w:p w:rsidR="00A22CE6" w:rsidRDefault="004B6CDF" w:rsidP="00A22CE6">
          <w:pPr>
            <w:pStyle w:val="Nagwek"/>
          </w:pPr>
          <w:r>
            <w:rPr>
              <w:noProof/>
              <w:lang w:bidi="ar-SA"/>
            </w:rPr>
            <w:pict>
              <v:group id="_x0000_s3078" style="position:absolute;margin-left:-.45pt;margin-top:0;width:692.5pt;height:48.85pt;z-index:251663360" coordorigin="1408,708" coordsize="13850,9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3074" type="#_x0000_t75" style="position:absolute;left:5685;top:708;width:856;height:901;visibility:visible;mso-position-vertical:top;mso-position-vertical-relative:margin" o:regroupid="1">
                  <v:imagedata r:id="rId1" o:title="Leader_07-13"/>
                </v:shape>
                <v:shape id="Obraz 19" o:spid="_x0000_s3075" type="#_x0000_t75" style="position:absolute;left:9690;top:708;width:1060;height:962;visibility:visible;mso-position-vertical:top;mso-position-vertical-relative:margin" o:regroupid="1">
                  <v:imagedata r:id="rId2" o:title=""/>
                </v:shape>
                <v:shape id="_x0000_s3076" type="#_x0000_t75" style="position:absolute;left:13733;top:708;width:1525;height:964;mso-position-vertical:top;mso-position-vertical-relative:margin" o:regroupid="1">
                  <v:imagedata r:id="rId3" o:title=""/>
                </v:shape>
                <v:shape id="Obraz 1" o:spid="_x0000_s3077" type="#_x0000_t75" style="position:absolute;left:1408;top:708;width:1491;height:977;visibility:visible;mso-position-vertical:top;mso-position-vertical-relative:margin" o:regroupid="1">
                  <v:imagedata r:id="rId4" o:title="UE EFR"/>
                </v:shape>
              </v:group>
            </w:pict>
          </w:r>
        </w:p>
        <w:p w:rsidR="00A22CE6" w:rsidRDefault="00A22CE6" w:rsidP="00A22CE6">
          <w:pPr>
            <w:pStyle w:val="Nagwek"/>
          </w:pPr>
        </w:p>
        <w:p w:rsidR="00A22CE6" w:rsidRDefault="00A22CE6" w:rsidP="00A22CE6">
          <w:pPr>
            <w:pStyle w:val="Nagwek"/>
          </w:pPr>
        </w:p>
      </w:tc>
      <w:tc>
        <w:tcPr>
          <w:tcW w:w="6997" w:type="dxa"/>
        </w:tcPr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4B6CDF" w:rsidRDefault="004B6CDF" w:rsidP="00A22CE6">
          <w:pPr>
            <w:pStyle w:val="Nagwek"/>
            <w:ind w:firstLine="708"/>
            <w:rPr>
              <w:rFonts w:asciiTheme="minorHAnsi" w:hAnsiTheme="minorHAnsi"/>
              <w:b/>
            </w:rPr>
          </w:pPr>
        </w:p>
        <w:p w:rsidR="00A22CE6" w:rsidRPr="00A22CE6" w:rsidRDefault="00A22CE6" w:rsidP="00A22CE6">
          <w:pPr>
            <w:tabs>
              <w:tab w:val="left" w:pos="2385"/>
            </w:tabs>
          </w:pPr>
          <w:r>
            <w:tab/>
          </w:r>
        </w:p>
      </w:tc>
    </w:tr>
  </w:tbl>
  <w:p w:rsidR="00A22CE6" w:rsidRDefault="00A22CE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3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D20F4"/>
    <w:rsid w:val="00010801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239E4"/>
    <w:rsid w:val="00130B73"/>
    <w:rsid w:val="00140FA3"/>
    <w:rsid w:val="001521B6"/>
    <w:rsid w:val="00197F2A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32952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B6CDF"/>
    <w:rsid w:val="004C0A78"/>
    <w:rsid w:val="004C192E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E1A0C"/>
    <w:rsid w:val="009048D0"/>
    <w:rsid w:val="0090627D"/>
    <w:rsid w:val="00910D0C"/>
    <w:rsid w:val="009137A6"/>
    <w:rsid w:val="00920422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2CE6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55F5"/>
    <w:rsid w:val="00A7658E"/>
    <w:rsid w:val="00A90831"/>
    <w:rsid w:val="00A95677"/>
    <w:rsid w:val="00AA150C"/>
    <w:rsid w:val="00AA7E48"/>
    <w:rsid w:val="00AB15DD"/>
    <w:rsid w:val="00AC0441"/>
    <w:rsid w:val="00AD20F4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77BB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A1968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5052"/>
    <w:rsid w:val="00F025FF"/>
    <w:rsid w:val="00F048C8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0F4"/>
    <w:pPr>
      <w:keepNext/>
      <w:keepLines/>
      <w:spacing w:before="40"/>
      <w:outlineLvl w:val="1"/>
    </w:pPr>
    <w:rPr>
      <w:rFonts w:ascii="Aller" w:eastAsiaTheme="majorEastAsia" w:hAnsi="Aller" w:cstheme="majorBidi"/>
      <w:b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20F4"/>
    <w:rPr>
      <w:rFonts w:ascii="Aller" w:eastAsiaTheme="majorEastAsia" w:hAnsi="Aller" w:cstheme="majorBidi"/>
      <w:b/>
      <w:color w:val="000000" w:themeColor="text1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AD20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D20F4"/>
    <w:pPr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ogrubienieTeksttreci211pt">
    <w:name w:val="Pogrubienie;Tekst treści (2) + 11 pt"/>
    <w:basedOn w:val="Teksttreci2"/>
    <w:rsid w:val="00AD20F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22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E6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22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E6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A2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2015-11-05T11:37:00Z</dcterms:created>
  <dcterms:modified xsi:type="dcterms:W3CDTF">2015-11-05T11:58:00Z</dcterms:modified>
</cp:coreProperties>
</file>